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土地资源管理</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1.</w:t>
            </w:r>
            <w:r>
              <w:rPr>
                <w:rFonts w:hint="eastAsia" w:ascii="宋体" w:hAnsi="宋体" w:eastAsia="宋体" w:cs="宋体"/>
                <w:sz w:val="24"/>
                <w:szCs w:val="24"/>
                <w:lang w:eastAsia="zh-CN"/>
              </w:rPr>
              <w:t>该专业培养方案</w:t>
            </w:r>
            <w:r>
              <w:rPr>
                <w:rFonts w:hint="eastAsia" w:ascii="宋体" w:hAnsi="宋体" w:eastAsia="宋体" w:cs="宋体"/>
                <w:sz w:val="24"/>
                <w:szCs w:val="24"/>
              </w:rPr>
              <w:t>有点过于偏向文科，这与培养目标“能适应新时期国土、城建、农业、房地产以及相关领域工作和研究需要的复合型人才”有点差距，建议补充完善专业课与选修课的相关内容。</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，结合专业实际，减少一般性的描述。注意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要将培养方案中每一门课程（含实践环节）列入关系表中，体现每一门课程对培养目标、毕业要求的贡献度，不能用笼统的课程类进行描述，如“掌握一定的科学基础知识</w:t>
            </w:r>
            <w:r>
              <w:rPr>
                <w:rFonts w:hint="eastAsia" w:ascii="宋体" w:hAnsi="宋体" w:eastAsia="宋体" w:cs="宋体"/>
                <w:b w:val="0"/>
                <w:bCs/>
                <w:color w:val="000000"/>
                <w:sz w:val="24"/>
                <w:szCs w:val="24"/>
                <w:lang w:val="en-US" w:eastAsia="zh-CN"/>
              </w:rPr>
              <w:t>”，列出</w:t>
            </w:r>
            <w:r>
              <w:rPr>
                <w:rFonts w:hint="eastAsia" w:ascii="宋体" w:hAnsi="宋体" w:eastAsia="宋体" w:cs="宋体"/>
                <w:b w:val="0"/>
                <w:bCs/>
                <w:color w:val="000000"/>
                <w:sz w:val="24"/>
                <w:szCs w:val="24"/>
                <w:lang w:eastAsia="zh-CN"/>
              </w:rPr>
              <w:t>海洋类、生物类、物理类</w:t>
            </w:r>
            <w:r>
              <w:rPr>
                <w:rFonts w:hint="eastAsia" w:ascii="宋体" w:hAnsi="宋体" w:eastAsia="宋体" w:cs="宋体"/>
                <w:b w:val="0"/>
                <w:bCs/>
                <w:color w:val="000000"/>
                <w:sz w:val="24"/>
                <w:szCs w:val="24"/>
                <w:lang w:eastAsia="zh-CN"/>
              </w:rPr>
              <w:t>，</w:t>
            </w:r>
            <w:r>
              <w:rPr>
                <w:rFonts w:hint="eastAsia" w:ascii="宋体" w:hAnsi="宋体" w:cs="宋体"/>
                <w:b w:val="0"/>
                <w:bCs/>
                <w:color w:val="000000"/>
                <w:sz w:val="24"/>
                <w:szCs w:val="24"/>
                <w:lang w:eastAsia="zh-CN"/>
              </w:rPr>
              <w:t>这些是需</w:t>
            </w:r>
            <w:r>
              <w:rPr>
                <w:rFonts w:hint="eastAsia" w:ascii="宋体" w:hAnsi="宋体" w:eastAsia="宋体" w:cs="宋体"/>
                <w:b w:val="0"/>
                <w:bCs/>
                <w:color w:val="000000"/>
                <w:sz w:val="24"/>
                <w:szCs w:val="24"/>
                <w:lang w:eastAsia="zh-CN"/>
              </w:rPr>
              <w:t>要用附表中的具体课程来写明。类似情况要进一步梳理。（</w:t>
            </w:r>
            <w:r>
              <w:rPr>
                <w:rFonts w:hint="eastAsia" w:ascii="宋体" w:hAnsi="宋体" w:eastAsia="宋体" w:cs="宋体"/>
                <w:b w:val="0"/>
                <w:bCs/>
                <w:color w:val="000000"/>
                <w:sz w:val="24"/>
                <w:szCs w:val="24"/>
                <w:lang w:val="en-US" w:eastAsia="zh-CN"/>
              </w:rPr>
              <w:t>3）</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系表中所列课程不能全面支撑指标点内涵，非常单薄</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如“1-2具备良好的职业道德修养”，就只有“思想道德修养与法律基础”一门课程支撑</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需要再进一步梳理、检查。</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contextualSpacing/>
              <w:jc w:val="both"/>
              <w:textAlignment w:val="auto"/>
              <w:outlineLvl w:val="9"/>
              <w:rPr>
                <w:rFonts w:hint="eastAsia" w:ascii="宋体" w:hAnsi="宋体" w:cs="宋体"/>
                <w:b/>
                <w:bCs/>
                <w:sz w:val="24"/>
                <w:szCs w:val="24"/>
                <w:lang w:val="en-US" w:eastAsia="zh-CN"/>
              </w:rPr>
            </w:pPr>
            <w:r>
              <w:rPr>
                <w:rFonts w:hint="eastAsia" w:ascii="宋体" w:hAnsi="宋体" w:cs="宋体"/>
                <w:b/>
                <w:bCs/>
                <w:sz w:val="24"/>
                <w:szCs w:val="24"/>
                <w:lang w:val="en-US" w:eastAsia="zh-CN"/>
              </w:rPr>
              <w:t>3.</w:t>
            </w:r>
            <w:r>
              <w:rPr>
                <w:rFonts w:hint="eastAsia" w:ascii="宋体" w:hAnsi="宋体" w:eastAsia="宋体" w:cs="宋体"/>
                <w:sz w:val="24"/>
                <w:szCs w:val="24"/>
              </w:rPr>
              <w:t>该专业隶属于公共管理学科，应该因此在专业课程设置中，要</w:t>
            </w:r>
            <w:r>
              <w:rPr>
                <w:rFonts w:hint="eastAsia" w:ascii="宋体" w:hAnsi="宋体" w:eastAsia="宋体" w:cs="宋体"/>
                <w:sz w:val="24"/>
                <w:szCs w:val="24"/>
                <w:lang w:eastAsia="zh-CN"/>
              </w:rPr>
              <w:t>有</w:t>
            </w:r>
            <w:r>
              <w:rPr>
                <w:rFonts w:hint="eastAsia" w:ascii="宋体" w:hAnsi="宋体" w:eastAsia="宋体" w:cs="宋体"/>
                <w:sz w:val="24"/>
                <w:szCs w:val="24"/>
              </w:rPr>
              <w:t>专门强调公共管理方面的知识体系，建议考虑增加一些与公共管理有关的课程，如《公共财政学》等。</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w:t>
            </w:r>
            <w:r>
              <w:rPr>
                <w:rFonts w:hint="eastAsia" w:ascii="宋体" w:hAnsi="宋体" w:eastAsia="宋体" w:cs="宋体"/>
                <w:sz w:val="24"/>
                <w:szCs w:val="24"/>
              </w:rPr>
              <w:t>土地资源管理与自然环境与区位相关，因此引入一些《自然地理学》、《经济地理学》等地理学课程，以及《生态学》等课程，都属于该专业应该掌握的专业基础知识。</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contextualSpacing/>
              <w:jc w:val="both"/>
              <w:textAlignment w:val="auto"/>
              <w:outlineLvl w:val="9"/>
              <w:rPr>
                <w:rFonts w:ascii="宋体" w:hAnsi="宋体" w:cs="宋体"/>
                <w:sz w:val="24"/>
              </w:rPr>
            </w:pPr>
            <w:r>
              <w:rPr>
                <w:rFonts w:hint="eastAsia" w:ascii="宋体" w:hAnsi="宋体" w:cs="宋体"/>
                <w:sz w:val="24"/>
                <w:szCs w:val="24"/>
                <w:lang w:val="en-US" w:eastAsia="zh-CN"/>
              </w:rPr>
              <w:t>5.</w:t>
            </w:r>
            <w:r>
              <w:rPr>
                <w:rFonts w:hint="eastAsia" w:ascii="宋体" w:hAnsi="宋体" w:eastAsia="宋体" w:cs="宋体"/>
                <w:sz w:val="24"/>
                <w:szCs w:val="24"/>
              </w:rPr>
              <w:t>土地资源管理涉及到很多地图学与地理信息系统的专门知识，培养方案和教学计划中涉及太少。现在这个方案中只是开设了一门《测量学》，测量的结果是要表现在图上的，不学《地图学》的基础知识就很难实现，而《地理信息系统》则是最好的分析工具，这些课程对于培养土地资源管理专业的学生来说，意义重大。</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rPr>
            </w:pPr>
            <w:r>
              <w:rPr>
                <w:rFonts w:hint="eastAsia" w:ascii="宋体" w:hAnsi="宋体" w:cs="宋体"/>
                <w:sz w:val="24"/>
                <w:szCs w:val="24"/>
                <w:lang w:val="en-US" w:eastAsia="zh-CN"/>
              </w:rPr>
              <w:t>6.</w:t>
            </w:r>
            <w:r>
              <w:rPr>
                <w:rFonts w:hint="eastAsia" w:ascii="宋体" w:hAnsi="宋体" w:eastAsia="宋体" w:cs="宋体"/>
                <w:sz w:val="24"/>
                <w:szCs w:val="24"/>
              </w:rPr>
              <w:t>土地利用历来是一个政策性很强的学科，课程设置中必须为学生打下学会利用政策为地方经济与社会发展服务的意识，不懂政策，很难把握区域土地利用的方向。因此，类似《土地政策分析与评价》之类课程，也是该专业需要开出的课程。</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kern w:val="0"/>
                <w:szCs w:val="21"/>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eastAsia="zh-CN"/>
              </w:rPr>
              <w:t>建议在专业综合实践模块增加“专业综合实习”，巩固和提高学生的专业知识与技能。</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eastAsia="宋体" w:cs="宋体"/>
                <w:sz w:val="24"/>
                <w:lang w:val="en-US" w:eastAsia="zh-CN"/>
              </w:rPr>
            </w:pPr>
            <w:r>
              <w:rPr>
                <w:rFonts w:hint="eastAsia" w:ascii="宋体" w:hAnsi="宋体" w:cs="宋体"/>
                <w:sz w:val="24"/>
                <w:lang w:val="en-US" w:eastAsia="zh-CN"/>
              </w:rPr>
              <w:t>8.</w:t>
            </w:r>
            <w:r>
              <w:rPr>
                <w:rFonts w:hint="eastAsia" w:ascii="宋体" w:hAnsi="宋体" w:cs="宋体"/>
                <w:b w:val="0"/>
                <w:bCs w:val="0"/>
                <w:sz w:val="24"/>
                <w:szCs w:val="24"/>
                <w:lang w:val="en-US" w:eastAsia="zh-CN"/>
              </w:rPr>
              <w:t>建议设置2-3门必修性质的涉海类课程，</w:t>
            </w:r>
            <w:r>
              <w:rPr>
                <w:rFonts w:hint="eastAsia" w:ascii="宋体" w:hAnsi="宋体" w:eastAsia="宋体" w:cs="宋体"/>
                <w:sz w:val="24"/>
                <w:szCs w:val="24"/>
                <w:lang w:eastAsia="zh-CN"/>
              </w:rPr>
              <w:t>学科专业拓展课模块只有一门“海洋综合管理”课程。结合广东海洋大学的办学特点，建议在学科交叉融合课程模块里</w:t>
            </w:r>
            <w:r>
              <w:rPr>
                <w:rFonts w:hint="eastAsia" w:ascii="宋体" w:hAnsi="宋体" w:cs="宋体"/>
                <w:sz w:val="24"/>
                <w:szCs w:val="24"/>
                <w:lang w:eastAsia="zh-CN"/>
              </w:rPr>
              <w:t>，再</w:t>
            </w:r>
            <w:bookmarkStart w:id="0" w:name="_GoBack"/>
            <w:bookmarkEnd w:id="0"/>
            <w:r>
              <w:rPr>
                <w:rFonts w:hint="eastAsia" w:ascii="宋体" w:hAnsi="宋体" w:eastAsia="宋体" w:cs="宋体"/>
                <w:sz w:val="24"/>
                <w:szCs w:val="24"/>
                <w:lang w:eastAsia="zh-CN"/>
              </w:rPr>
              <w:t>增加相关的海洋资源开发与管理类课程1-2门，</w:t>
            </w:r>
            <w:r>
              <w:rPr>
                <w:rFonts w:hint="eastAsia" w:ascii="宋体" w:hAnsi="宋体" w:cs="宋体"/>
                <w:b w:val="0"/>
                <w:bCs w:val="0"/>
                <w:sz w:val="24"/>
                <w:szCs w:val="24"/>
                <w:lang w:val="en-US" w:eastAsia="zh-CN"/>
              </w:rPr>
              <w:t>凸显专业的海洋特色。</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4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cs="宋体"/>
                <w:sz w:val="24"/>
                <w:lang w:val="en-US" w:eastAsia="zh-CN"/>
              </w:rPr>
            </w:pPr>
            <w:r>
              <w:rPr>
                <w:rFonts w:hint="eastAsia" w:ascii="宋体" w:cs="宋体"/>
                <w:sz w:val="24"/>
                <w:lang w:val="en-US" w:eastAsia="zh-CN"/>
              </w:rPr>
              <w:t>9.</w:t>
            </w:r>
            <w:r>
              <w:rPr>
                <w:rFonts w:hint="eastAsia" w:ascii="宋体" w:hAnsi="宋体" w:eastAsia="宋体" w:cs="宋体"/>
                <w:sz w:val="24"/>
                <w:szCs w:val="24"/>
                <w:lang w:val="en-US" w:eastAsia="zh-CN"/>
              </w:rPr>
              <w:t>按照</w:t>
            </w:r>
            <w:r>
              <w:rPr>
                <w:rFonts w:hint="eastAsia" w:ascii="宋体" w:hAnsi="宋体" w:eastAsia="宋体" w:cs="宋体"/>
                <w:sz w:val="24"/>
                <w:szCs w:val="24"/>
              </w:rPr>
              <w:t>教育部</w:t>
            </w:r>
            <w:r>
              <w:rPr>
                <w:rFonts w:hint="eastAsia" w:ascii="宋体" w:hAnsi="宋体" w:eastAsia="宋体" w:cs="宋体"/>
                <w:sz w:val="24"/>
                <w:szCs w:val="24"/>
                <w:lang w:eastAsia="zh-CN"/>
              </w:rPr>
              <w:t>关于创新创业教育工作指导意见，</w:t>
            </w:r>
            <w:r>
              <w:rPr>
                <w:rFonts w:hint="eastAsia" w:ascii="宋体" w:hAnsi="宋体" w:eastAsia="宋体" w:cs="宋体"/>
                <w:sz w:val="24"/>
                <w:szCs w:val="24"/>
              </w:rPr>
              <w:t>建议在专业课程中增加创新创业内容，</w:t>
            </w:r>
            <w:r>
              <w:rPr>
                <w:rFonts w:hint="eastAsia" w:ascii="宋体" w:hAnsi="宋体" w:eastAsia="宋体" w:cs="宋体"/>
                <w:sz w:val="24"/>
                <w:szCs w:val="24"/>
                <w:lang w:eastAsia="zh-CN"/>
              </w:rPr>
              <w:t>或设置适当的</w:t>
            </w:r>
            <w:r>
              <w:rPr>
                <w:rFonts w:hint="eastAsia" w:ascii="宋体" w:hAnsi="宋体" w:eastAsia="宋体" w:cs="宋体"/>
                <w:sz w:val="24"/>
                <w:szCs w:val="24"/>
              </w:rPr>
              <w:t>创新创业课程</w:t>
            </w:r>
            <w:r>
              <w:rPr>
                <w:rFonts w:hint="eastAsia" w:ascii="宋体" w:hAnsi="宋体" w:cs="宋体"/>
                <w:sz w:val="24"/>
                <w:szCs w:val="24"/>
                <w:lang w:eastAsia="zh-CN"/>
              </w:rPr>
              <w:t>，</w:t>
            </w:r>
            <w:r>
              <w:rPr>
                <w:rFonts w:hint="eastAsia" w:ascii="宋体" w:hAnsi="宋体"/>
                <w:sz w:val="24"/>
                <w:lang w:eastAsia="zh-CN"/>
              </w:rPr>
              <w:t>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2C52497"/>
    <w:rsid w:val="07ED2627"/>
    <w:rsid w:val="0C1B4C2C"/>
    <w:rsid w:val="0C245C9C"/>
    <w:rsid w:val="0EA86D90"/>
    <w:rsid w:val="102C0A0F"/>
    <w:rsid w:val="117201E8"/>
    <w:rsid w:val="119909E7"/>
    <w:rsid w:val="12DB5170"/>
    <w:rsid w:val="16C47058"/>
    <w:rsid w:val="17830759"/>
    <w:rsid w:val="1AE61066"/>
    <w:rsid w:val="1BDB6B4F"/>
    <w:rsid w:val="224668AD"/>
    <w:rsid w:val="23C55634"/>
    <w:rsid w:val="26E14A51"/>
    <w:rsid w:val="28A97586"/>
    <w:rsid w:val="2BB96F1F"/>
    <w:rsid w:val="2BE447B2"/>
    <w:rsid w:val="2EF53201"/>
    <w:rsid w:val="2EFC1D06"/>
    <w:rsid w:val="2FA40A26"/>
    <w:rsid w:val="3387267D"/>
    <w:rsid w:val="339F1CCA"/>
    <w:rsid w:val="33A81B5C"/>
    <w:rsid w:val="39941390"/>
    <w:rsid w:val="3A13386D"/>
    <w:rsid w:val="3FC10002"/>
    <w:rsid w:val="405C2FAB"/>
    <w:rsid w:val="4200142C"/>
    <w:rsid w:val="45351B7E"/>
    <w:rsid w:val="466E4269"/>
    <w:rsid w:val="467961A3"/>
    <w:rsid w:val="4D8F6D71"/>
    <w:rsid w:val="51FE4AD9"/>
    <w:rsid w:val="537A24F9"/>
    <w:rsid w:val="57A530DF"/>
    <w:rsid w:val="581919D7"/>
    <w:rsid w:val="5A8A533A"/>
    <w:rsid w:val="5C3E6532"/>
    <w:rsid w:val="630A4728"/>
    <w:rsid w:val="68796044"/>
    <w:rsid w:val="6E517661"/>
    <w:rsid w:val="712850BB"/>
    <w:rsid w:val="72552A18"/>
    <w:rsid w:val="75E12EAE"/>
    <w:rsid w:val="7790026F"/>
    <w:rsid w:val="77997E4F"/>
    <w:rsid w:val="77C27E57"/>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2017-12-25T02:47:55Z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